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und Sanierung der Karl-Brauckmann-Schule: Tischlerarbeiten Innentüren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 Innentüren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